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5340"/>
        </w:tabs>
        <w:spacing w:before="21" w:line="231" w:lineRule="auto"/>
        <w:ind w:right="141" w:rightChars="0"/>
        <w:jc w:val="both"/>
        <w:rPr>
          <w:rFonts w:hint="eastAsia" w:ascii="仿宋" w:hAnsi="仿宋" w:eastAsia="仿宋" w:cs="仿宋"/>
          <w:spacing w:val="6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pacing w:val="6"/>
          <w:sz w:val="30"/>
          <w:szCs w:val="30"/>
          <w:lang w:val="en-US" w:eastAsia="zh-CN"/>
        </w:rPr>
        <w:t>附件4</w:t>
      </w:r>
    </w:p>
    <w:p>
      <w:pPr>
        <w:spacing w:before="172" w:line="221" w:lineRule="auto"/>
        <w:jc w:val="center"/>
        <w:rPr>
          <w:rFonts w:hint="eastAsia" w:ascii="黑体" w:hAnsi="黑体" w:eastAsia="黑体" w:cs="黑体"/>
          <w:spacing w:val="7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6"/>
          <w:szCs w:val="36"/>
          <w:lang w:val="en-US" w:eastAsia="zh-CN"/>
        </w:rPr>
        <w:t>广西工程咨询协会</w:t>
      </w:r>
      <w:r>
        <w:rPr>
          <w:rFonts w:ascii="黑体" w:hAnsi="黑体" w:eastAsia="黑体" w:cs="黑体"/>
          <w:spacing w:val="7"/>
          <w:sz w:val="36"/>
          <w:szCs w:val="36"/>
        </w:rPr>
        <w:t>专家工作评价表</w:t>
      </w:r>
      <w:r>
        <w:rPr>
          <w:rFonts w:hint="eastAsia" w:ascii="黑体" w:hAnsi="黑体" w:eastAsia="黑体" w:cs="黑体"/>
          <w:spacing w:val="7"/>
          <w:sz w:val="36"/>
          <w:szCs w:val="36"/>
          <w:lang w:val="en-US" w:eastAsia="zh-CN"/>
        </w:rPr>
        <w:t xml:space="preserve">                                               </w:t>
      </w:r>
    </w:p>
    <w:tbl>
      <w:tblPr>
        <w:tblStyle w:val="6"/>
        <w:tblpPr w:leftFromText="180" w:rightFromText="180" w:vertAnchor="text" w:horzAnchor="page" w:tblpX="651" w:tblpY="261"/>
        <w:tblOverlap w:val="never"/>
        <w:tblW w:w="154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1"/>
        <w:gridCol w:w="444"/>
        <w:gridCol w:w="2305"/>
        <w:gridCol w:w="3479"/>
        <w:gridCol w:w="1260"/>
        <w:gridCol w:w="1035"/>
        <w:gridCol w:w="1035"/>
        <w:gridCol w:w="1035"/>
        <w:gridCol w:w="1035"/>
        <w:gridCol w:w="1036"/>
        <w:gridCol w:w="9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18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2"/>
                <w:sz w:val="21"/>
                <w:szCs w:val="21"/>
                <w:lang w:val="en-US" w:eastAsia="zh-CN"/>
              </w:rPr>
              <w:t>专家姓名</w:t>
            </w:r>
          </w:p>
        </w:tc>
        <w:tc>
          <w:tcPr>
            <w:tcW w:w="27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spacing w:val="-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2"/>
                <w:sz w:val="21"/>
                <w:szCs w:val="21"/>
              </w:rPr>
              <w:t>专家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-2"/>
                <w:sz w:val="21"/>
                <w:szCs w:val="21"/>
                <w:lang w:val="en-US" w:eastAsia="zh-CN"/>
              </w:rPr>
              <w:t>所在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-2"/>
                <w:sz w:val="21"/>
                <w:szCs w:val="21"/>
              </w:rPr>
              <w:t>单位</w:t>
            </w:r>
          </w:p>
        </w:tc>
        <w:tc>
          <w:tcPr>
            <w:tcW w:w="34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2"/>
                <w:sz w:val="21"/>
                <w:szCs w:val="21"/>
                <w:lang w:val="en-US" w:eastAsia="zh-CN"/>
              </w:rPr>
              <w:t>专家工作内容或数量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6"/>
                <w:sz w:val="21"/>
                <w:szCs w:val="21"/>
              </w:rPr>
              <w:t>工作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10"/>
                <w:sz w:val="21"/>
                <w:szCs w:val="21"/>
              </w:rPr>
              <w:t>时间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11"/>
                <w:sz w:val="21"/>
                <w:szCs w:val="21"/>
              </w:rPr>
              <w:t>(天数)</w:t>
            </w:r>
          </w:p>
        </w:tc>
        <w:tc>
          <w:tcPr>
            <w:tcW w:w="10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ind w:right="97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9"/>
                <w:sz w:val="21"/>
                <w:szCs w:val="21"/>
                <w:lang w:val="en-US" w:eastAsia="zh-CN"/>
              </w:rPr>
              <w:t>服务态度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9"/>
                <w:sz w:val="21"/>
                <w:szCs w:val="21"/>
              </w:rPr>
              <w:t>(15分)</w:t>
            </w:r>
          </w:p>
        </w:tc>
        <w:tc>
          <w:tcPr>
            <w:tcW w:w="10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ind w:right="96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4"/>
                <w:sz w:val="21"/>
                <w:szCs w:val="21"/>
                <w:lang w:val="en-US" w:eastAsia="zh-CN"/>
              </w:rPr>
              <w:t>技术水平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9"/>
                <w:sz w:val="21"/>
                <w:szCs w:val="21"/>
              </w:rPr>
              <w:t>(50分)</w:t>
            </w:r>
          </w:p>
        </w:tc>
        <w:tc>
          <w:tcPr>
            <w:tcW w:w="10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ind w:right="85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spacing w:val="-5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5"/>
                <w:sz w:val="21"/>
                <w:szCs w:val="21"/>
                <w:lang w:val="en-US" w:eastAsia="zh-CN"/>
              </w:rPr>
              <w:t>职业道德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ind w:right="85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9"/>
                <w:sz w:val="21"/>
                <w:szCs w:val="21"/>
              </w:rPr>
              <w:t>(20分)</w:t>
            </w:r>
          </w:p>
        </w:tc>
        <w:tc>
          <w:tcPr>
            <w:tcW w:w="10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6"/>
                <w:sz w:val="21"/>
                <w:szCs w:val="21"/>
              </w:rPr>
              <w:t>制度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7"/>
                <w:sz w:val="21"/>
                <w:szCs w:val="21"/>
              </w:rPr>
              <w:t>遵守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9"/>
                <w:sz w:val="21"/>
                <w:szCs w:val="21"/>
              </w:rPr>
              <w:t>(15分)</w:t>
            </w:r>
          </w:p>
        </w:tc>
        <w:tc>
          <w:tcPr>
            <w:tcW w:w="10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ind w:right="53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5"/>
                <w:sz w:val="21"/>
                <w:szCs w:val="21"/>
              </w:rPr>
              <w:t>得分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ind w:right="53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21"/>
                <w:sz w:val="21"/>
                <w:szCs w:val="21"/>
              </w:rPr>
              <w:t>满分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9"/>
                <w:sz w:val="21"/>
                <w:szCs w:val="21"/>
              </w:rPr>
              <w:t>100分)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ind w:right="112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4"/>
                <w:sz w:val="21"/>
                <w:szCs w:val="21"/>
              </w:rPr>
              <w:t>评价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-4"/>
                <w:sz w:val="21"/>
                <w:szCs w:val="21"/>
                <w:lang w:val="en-US" w:eastAsia="zh-CN"/>
              </w:rPr>
              <w:t>结果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</w:trPr>
        <w:tc>
          <w:tcPr>
            <w:tcW w:w="18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749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47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6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94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18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749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47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6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  <w:r>
              <w:rPr>
                <w:rFonts w:hint="eastAsia" w:ascii="仿宋" w:hAnsi="仿宋" w:eastAsia="仿宋" w:cs="仿宋"/>
                <w:sz w:val="21"/>
                <w:lang w:val="en-US" w:eastAsia="zh-CN"/>
              </w:rPr>
              <w:t xml:space="preserve"> </w:t>
            </w:r>
          </w:p>
        </w:tc>
        <w:tc>
          <w:tcPr>
            <w:tcW w:w="10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94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18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749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47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6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94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18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749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47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6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94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18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749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47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6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94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1811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749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47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6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3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94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textAlignment w:val="baseline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5" w:hRule="atLeast"/>
        </w:trPr>
        <w:tc>
          <w:tcPr>
            <w:tcW w:w="225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6" w:line="300" w:lineRule="exact"/>
              <w:ind w:left="95"/>
              <w:jc w:val="center"/>
              <w:textAlignment w:val="baseline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评价部门意见</w:t>
            </w:r>
          </w:p>
        </w:tc>
        <w:tc>
          <w:tcPr>
            <w:tcW w:w="13165" w:type="dxa"/>
            <w:gridSpan w:val="9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534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0" w:lineRule="exact"/>
              <w:ind w:left="210" w:leftChars="100" w:right="142" w:righ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pacing w:val="6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tabs>
                <w:tab w:val="left" w:pos="1534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0" w:lineRule="exact"/>
              <w:ind w:left="210" w:leftChars="100" w:right="142" w:righ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pacing w:val="6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tabs>
                <w:tab w:val="left" w:pos="1534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0" w:lineRule="exact"/>
              <w:ind w:left="210" w:leftChars="100" w:right="142" w:righ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pacing w:val="6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tabs>
                <w:tab w:val="left" w:pos="1534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0" w:lineRule="exact"/>
              <w:ind w:left="210" w:leftChars="100" w:right="142" w:righ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pacing w:val="6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tabs>
                <w:tab w:val="left" w:pos="1534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0" w:lineRule="exact"/>
              <w:ind w:left="210" w:leftChars="100" w:right="142" w:rightChars="0" w:firstLine="9102" w:firstLineChars="4100"/>
              <w:jc w:val="both"/>
              <w:textAlignment w:val="baseline"/>
              <w:rPr>
                <w:rFonts w:hint="eastAsia" w:ascii="仿宋" w:hAnsi="仿宋" w:eastAsia="仿宋" w:cs="仿宋"/>
                <w:spacing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lang w:val="en-US" w:eastAsia="zh-CN"/>
              </w:rPr>
              <w:t>评价部门负责人（签字）：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534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0" w:lineRule="exact"/>
              <w:ind w:left="210" w:leftChars="100" w:right="142" w:rightChars="0" w:firstLine="10878" w:firstLineChars="4900"/>
              <w:jc w:val="both"/>
              <w:textAlignment w:val="baseline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lang w:val="en-US" w:eastAsia="zh-CN"/>
              </w:rPr>
              <w:t>年  月  日</w:t>
            </w:r>
          </w:p>
        </w:tc>
      </w:tr>
    </w:tbl>
    <w:p>
      <w:pPr>
        <w:keepNext w:val="0"/>
        <w:keepLines w:val="0"/>
        <w:pageBreakBefore w:val="0"/>
        <w:widowControl/>
        <w:tabs>
          <w:tab w:val="left" w:pos="1534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0" w:lineRule="exact"/>
        <w:ind w:right="142" w:rightChars="0"/>
        <w:jc w:val="both"/>
        <w:textAlignment w:val="baseline"/>
        <w:rPr>
          <w:rFonts w:hint="eastAsia" w:ascii="仿宋" w:hAnsi="仿宋" w:eastAsia="仿宋" w:cs="仿宋"/>
          <w:spacing w:val="6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tabs>
          <w:tab w:val="left" w:pos="1534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0" w:lineRule="exact"/>
        <w:ind w:right="142" w:rightChars="0" w:firstLine="223" w:firstLineChars="100"/>
        <w:jc w:val="both"/>
        <w:textAlignment w:val="baseline"/>
        <w:rPr>
          <w:rFonts w:hint="eastAsia" w:ascii="仿宋" w:hAnsi="仿宋" w:eastAsia="仿宋" w:cs="仿宋"/>
          <w:spacing w:val="6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6"/>
          <w:sz w:val="21"/>
          <w:szCs w:val="21"/>
          <w:lang w:val="en-US" w:eastAsia="zh-CN"/>
        </w:rPr>
        <w:t>填表说明</w:t>
      </w:r>
      <w:r>
        <w:rPr>
          <w:rFonts w:hint="eastAsia" w:ascii="仿宋" w:hAnsi="仿宋" w:eastAsia="仿宋" w:cs="仿宋"/>
          <w:b/>
          <w:bCs/>
          <w:spacing w:val="6"/>
          <w:sz w:val="21"/>
          <w:szCs w:val="21"/>
        </w:rPr>
        <w:t>：</w:t>
      </w:r>
    </w:p>
    <w:p>
      <w:pPr>
        <w:keepNext w:val="0"/>
        <w:keepLines w:val="0"/>
        <w:pageBreakBefore w:val="0"/>
        <w:widowControl/>
        <w:tabs>
          <w:tab w:val="left" w:pos="1534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0" w:lineRule="exact"/>
        <w:ind w:left="210" w:leftChars="100" w:right="142" w:rightChars="0" w:firstLine="0" w:firstLineChars="0"/>
        <w:jc w:val="both"/>
        <w:textAlignment w:val="baseline"/>
        <w:rPr>
          <w:rFonts w:hint="eastAsia" w:ascii="仿宋" w:hAnsi="仿宋" w:eastAsia="仿宋" w:cs="仿宋"/>
          <w:spacing w:val="6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pacing w:val="6"/>
          <w:sz w:val="21"/>
          <w:szCs w:val="21"/>
          <w:lang w:val="en-US" w:eastAsia="zh-CN"/>
        </w:rPr>
        <w:t>1</w:t>
      </w:r>
      <w:r>
        <w:rPr>
          <w:rFonts w:hint="eastAsia" w:ascii="仿宋" w:hAnsi="仿宋" w:eastAsia="仿宋" w:cs="仿宋"/>
          <w:spacing w:val="6"/>
          <w:sz w:val="21"/>
          <w:szCs w:val="21"/>
        </w:rPr>
        <w:t>.</w:t>
      </w:r>
      <w:r>
        <w:rPr>
          <w:rFonts w:hint="eastAsia" w:ascii="仿宋" w:hAnsi="仿宋" w:eastAsia="仿宋" w:cs="仿宋"/>
          <w:spacing w:val="6"/>
          <w:sz w:val="21"/>
          <w:szCs w:val="21"/>
          <w:lang w:val="en-US" w:eastAsia="zh-CN"/>
        </w:rPr>
        <w:t>评价部门</w:t>
      </w:r>
      <w:r>
        <w:rPr>
          <w:rFonts w:hint="eastAsia" w:ascii="仿宋" w:hAnsi="仿宋" w:eastAsia="仿宋" w:cs="仿宋"/>
          <w:spacing w:val="6"/>
          <w:sz w:val="21"/>
          <w:szCs w:val="21"/>
        </w:rPr>
        <w:t>依据《</w:t>
      </w:r>
      <w:r>
        <w:rPr>
          <w:rFonts w:hint="eastAsia" w:ascii="仿宋" w:hAnsi="仿宋" w:eastAsia="仿宋" w:cs="仿宋"/>
          <w:spacing w:val="6"/>
          <w:sz w:val="21"/>
          <w:szCs w:val="21"/>
          <w:lang w:val="en-US" w:eastAsia="zh-CN"/>
        </w:rPr>
        <w:t>广西工程咨询协会</w:t>
      </w:r>
      <w:r>
        <w:rPr>
          <w:rFonts w:hint="eastAsia" w:ascii="仿宋" w:hAnsi="仿宋" w:eastAsia="仿宋" w:cs="仿宋"/>
          <w:spacing w:val="6"/>
          <w:sz w:val="21"/>
          <w:szCs w:val="21"/>
        </w:rPr>
        <w:t>专家管理办法》</w:t>
      </w:r>
      <w:r>
        <w:rPr>
          <w:rFonts w:hint="eastAsia" w:ascii="仿宋" w:hAnsi="仿宋" w:eastAsia="仿宋" w:cs="仿宋"/>
          <w:spacing w:val="6"/>
          <w:sz w:val="21"/>
          <w:szCs w:val="21"/>
          <w:lang w:eastAsia="zh-CN"/>
        </w:rPr>
        <w:t>（</w:t>
      </w:r>
      <w:r>
        <w:rPr>
          <w:rFonts w:hint="eastAsia" w:ascii="仿宋" w:hAnsi="仿宋" w:eastAsia="仿宋" w:cs="仿宋"/>
          <w:spacing w:val="6"/>
          <w:sz w:val="21"/>
          <w:szCs w:val="21"/>
          <w:lang w:val="en-US" w:eastAsia="zh-CN"/>
        </w:rPr>
        <w:t>试行）及</w:t>
      </w:r>
      <w:r>
        <w:rPr>
          <w:rFonts w:hint="eastAsia" w:ascii="仿宋" w:hAnsi="仿宋" w:eastAsia="仿宋" w:cs="仿宋"/>
          <w:spacing w:val="6"/>
          <w:sz w:val="21"/>
          <w:szCs w:val="21"/>
        </w:rPr>
        <w:t>《</w:t>
      </w:r>
      <w:r>
        <w:rPr>
          <w:rFonts w:hint="eastAsia" w:ascii="仿宋" w:hAnsi="仿宋" w:eastAsia="仿宋" w:cs="仿宋"/>
          <w:spacing w:val="6"/>
          <w:sz w:val="21"/>
          <w:szCs w:val="21"/>
          <w:lang w:val="en-US" w:eastAsia="zh-CN"/>
        </w:rPr>
        <w:t>广西工程咨询协会</w:t>
      </w:r>
      <w:r>
        <w:rPr>
          <w:rFonts w:hint="eastAsia" w:ascii="仿宋" w:hAnsi="仿宋" w:eastAsia="仿宋" w:cs="仿宋"/>
          <w:spacing w:val="6"/>
          <w:sz w:val="21"/>
          <w:szCs w:val="21"/>
        </w:rPr>
        <w:t>专家</w:t>
      </w:r>
      <w:r>
        <w:rPr>
          <w:rFonts w:hint="eastAsia" w:ascii="仿宋" w:hAnsi="仿宋" w:eastAsia="仿宋" w:cs="仿宋"/>
          <w:spacing w:val="6"/>
          <w:sz w:val="21"/>
          <w:szCs w:val="21"/>
          <w:lang w:val="en-US" w:eastAsia="zh-CN"/>
        </w:rPr>
        <w:t>工作</w:t>
      </w:r>
      <w:r>
        <w:rPr>
          <w:rFonts w:hint="eastAsia" w:ascii="仿宋" w:hAnsi="仿宋" w:eastAsia="仿宋" w:cs="仿宋"/>
          <w:spacing w:val="6"/>
          <w:sz w:val="21"/>
          <w:szCs w:val="21"/>
        </w:rPr>
        <w:t>评价标准》进行评分；评价结果分为优秀(100分-90分)、良好 (89分-</w:t>
      </w:r>
      <w:r>
        <w:rPr>
          <w:rFonts w:hint="eastAsia" w:ascii="仿宋" w:hAnsi="仿宋" w:eastAsia="仿宋" w:cs="仿宋"/>
          <w:spacing w:val="6"/>
          <w:sz w:val="21"/>
          <w:szCs w:val="21"/>
          <w:lang w:val="en-US" w:eastAsia="zh-CN"/>
        </w:rPr>
        <w:t>80</w:t>
      </w:r>
      <w:r>
        <w:rPr>
          <w:rFonts w:hint="eastAsia" w:ascii="仿宋" w:hAnsi="仿宋" w:eastAsia="仿宋" w:cs="仿宋"/>
          <w:spacing w:val="6"/>
          <w:sz w:val="21"/>
          <w:szCs w:val="21"/>
        </w:rPr>
        <w:t>分)、称职(</w:t>
      </w:r>
      <w:r>
        <w:rPr>
          <w:rFonts w:hint="eastAsia" w:ascii="仿宋" w:hAnsi="仿宋" w:eastAsia="仿宋" w:cs="仿宋"/>
          <w:spacing w:val="6"/>
          <w:sz w:val="21"/>
          <w:szCs w:val="21"/>
          <w:lang w:val="en-US" w:eastAsia="zh-CN"/>
        </w:rPr>
        <w:t>79</w:t>
      </w:r>
      <w:r>
        <w:rPr>
          <w:rFonts w:hint="eastAsia" w:ascii="仿宋" w:hAnsi="仿宋" w:eastAsia="仿宋" w:cs="仿宋"/>
          <w:spacing w:val="6"/>
          <w:sz w:val="21"/>
          <w:szCs w:val="21"/>
        </w:rPr>
        <w:t>分-60分),不称职(60分以下)</w:t>
      </w:r>
      <w:r>
        <w:rPr>
          <w:rFonts w:hint="eastAsia" w:ascii="仿宋" w:hAnsi="仿宋" w:eastAsia="仿宋" w:cs="仿宋"/>
          <w:spacing w:val="6"/>
          <w:sz w:val="21"/>
          <w:szCs w:val="21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tabs>
          <w:tab w:val="left" w:pos="1534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0" w:lineRule="exact"/>
        <w:ind w:right="142" w:rightChars="0" w:firstLine="222" w:firstLineChars="100"/>
        <w:jc w:val="both"/>
        <w:textAlignment w:val="baseline"/>
        <w:rPr>
          <w:rFonts w:hint="eastAsia" w:ascii="仿宋" w:hAnsi="仿宋" w:eastAsia="仿宋" w:cs="仿宋"/>
          <w:spacing w:val="6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pacing w:val="6"/>
          <w:sz w:val="21"/>
          <w:szCs w:val="21"/>
          <w:lang w:val="en-US" w:eastAsia="zh-CN"/>
        </w:rPr>
        <w:t>2</w:t>
      </w:r>
      <w:r>
        <w:rPr>
          <w:rFonts w:hint="eastAsia" w:ascii="仿宋" w:hAnsi="仿宋" w:eastAsia="仿宋" w:cs="仿宋"/>
          <w:spacing w:val="6"/>
          <w:sz w:val="21"/>
          <w:szCs w:val="21"/>
        </w:rPr>
        <w:t>.</w:t>
      </w:r>
      <w:r>
        <w:rPr>
          <w:rFonts w:hint="eastAsia" w:ascii="仿宋" w:hAnsi="仿宋" w:eastAsia="仿宋" w:cs="仿宋"/>
          <w:spacing w:val="6"/>
          <w:sz w:val="21"/>
          <w:szCs w:val="21"/>
          <w:lang w:val="en-US" w:eastAsia="zh-CN"/>
        </w:rPr>
        <w:t>表格不足可以加行；</w:t>
      </w:r>
      <w:bookmarkStart w:id="0" w:name="_GoBack"/>
      <w:bookmarkEnd w:id="0"/>
    </w:p>
    <w:p>
      <w:pPr>
        <w:keepNext w:val="0"/>
        <w:keepLines w:val="0"/>
        <w:pageBreakBefore w:val="0"/>
        <w:widowControl/>
        <w:tabs>
          <w:tab w:val="left" w:pos="1534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0" w:lineRule="exact"/>
        <w:ind w:right="142" w:rightChars="0" w:firstLine="222" w:firstLineChars="100"/>
        <w:jc w:val="both"/>
        <w:textAlignment w:val="baseline"/>
        <w:rPr>
          <w:rFonts w:ascii="宋体" w:hAnsi="宋体" w:eastAsia="宋体" w:cs="宋体"/>
          <w:spacing w:val="6"/>
          <w:sz w:val="21"/>
          <w:szCs w:val="21"/>
        </w:rPr>
      </w:pPr>
      <w:r>
        <w:rPr>
          <w:rFonts w:hint="eastAsia" w:ascii="仿宋" w:hAnsi="仿宋" w:eastAsia="仿宋" w:cs="仿宋"/>
          <w:spacing w:val="6"/>
          <w:sz w:val="21"/>
          <w:szCs w:val="21"/>
        </w:rPr>
        <w:t>3.本表格一式</w:t>
      </w:r>
      <w:r>
        <w:rPr>
          <w:rFonts w:hint="eastAsia" w:ascii="仿宋" w:hAnsi="仿宋" w:eastAsia="仿宋" w:cs="仿宋"/>
          <w:spacing w:val="6"/>
          <w:sz w:val="21"/>
          <w:szCs w:val="21"/>
          <w:lang w:val="en-US" w:eastAsia="zh-CN"/>
        </w:rPr>
        <w:t>三</w:t>
      </w:r>
      <w:r>
        <w:rPr>
          <w:rFonts w:hint="eastAsia" w:ascii="仿宋" w:hAnsi="仿宋" w:eastAsia="仿宋" w:cs="仿宋"/>
          <w:spacing w:val="6"/>
          <w:sz w:val="21"/>
          <w:szCs w:val="21"/>
        </w:rPr>
        <w:t>份：</w:t>
      </w:r>
      <w:r>
        <w:rPr>
          <w:rFonts w:hint="eastAsia" w:ascii="仿宋" w:hAnsi="仿宋" w:eastAsia="仿宋" w:cs="仿宋"/>
          <w:spacing w:val="6"/>
          <w:sz w:val="21"/>
          <w:szCs w:val="21"/>
          <w:lang w:val="en-US" w:eastAsia="zh-CN"/>
        </w:rPr>
        <w:t>评价部门</w:t>
      </w:r>
      <w:r>
        <w:rPr>
          <w:rFonts w:hint="eastAsia" w:ascii="仿宋" w:hAnsi="仿宋" w:eastAsia="仿宋" w:cs="仿宋"/>
          <w:spacing w:val="6"/>
          <w:sz w:val="21"/>
          <w:szCs w:val="21"/>
        </w:rPr>
        <w:t>、</w:t>
      </w:r>
      <w:r>
        <w:rPr>
          <w:rFonts w:hint="eastAsia" w:ascii="仿宋" w:hAnsi="仿宋" w:eastAsia="仿宋" w:cs="仿宋"/>
          <w:spacing w:val="6"/>
          <w:sz w:val="21"/>
          <w:szCs w:val="21"/>
          <w:lang w:val="en-US" w:eastAsia="zh-CN"/>
        </w:rPr>
        <w:t>专家委员会、协会</w:t>
      </w:r>
      <w:r>
        <w:rPr>
          <w:rFonts w:hint="eastAsia" w:ascii="仿宋" w:hAnsi="仿宋" w:eastAsia="仿宋" w:cs="仿宋"/>
          <w:spacing w:val="6"/>
          <w:sz w:val="21"/>
          <w:szCs w:val="21"/>
        </w:rPr>
        <w:t>各</w:t>
      </w:r>
      <w:r>
        <w:rPr>
          <w:rFonts w:hint="eastAsia" w:ascii="仿宋" w:hAnsi="仿宋" w:eastAsia="仿宋" w:cs="仿宋"/>
          <w:spacing w:val="6"/>
          <w:sz w:val="21"/>
          <w:szCs w:val="21"/>
          <w:lang w:val="en-US" w:eastAsia="zh-CN"/>
        </w:rPr>
        <w:t>存</w:t>
      </w:r>
      <w:r>
        <w:rPr>
          <w:rFonts w:hint="eastAsia" w:ascii="仿宋" w:hAnsi="仿宋" w:eastAsia="仿宋" w:cs="仿宋"/>
          <w:spacing w:val="6"/>
          <w:sz w:val="21"/>
          <w:szCs w:val="21"/>
        </w:rPr>
        <w:t>一份。</w:t>
      </w:r>
    </w:p>
    <w:p>
      <w:pPr>
        <w:spacing w:before="36" w:line="219" w:lineRule="auto"/>
        <w:ind w:left="1775"/>
        <w:jc w:val="both"/>
        <w:rPr>
          <w:rFonts w:ascii="宋体" w:hAnsi="宋体" w:eastAsia="宋体" w:cs="宋体"/>
          <w:spacing w:val="6"/>
          <w:sz w:val="21"/>
          <w:szCs w:val="21"/>
        </w:rPr>
      </w:pPr>
    </w:p>
    <w:p>
      <w:pPr>
        <w:spacing w:before="36" w:line="219" w:lineRule="auto"/>
        <w:rPr>
          <w:rFonts w:ascii="宋体" w:hAnsi="宋体" w:eastAsia="宋体" w:cs="宋体"/>
          <w:spacing w:val="6"/>
          <w:sz w:val="21"/>
          <w:szCs w:val="21"/>
        </w:rPr>
      </w:pPr>
    </w:p>
    <w:p>
      <w:pPr>
        <w:spacing w:before="36" w:line="219" w:lineRule="auto"/>
        <w:rPr>
          <w:rFonts w:ascii="宋体" w:hAnsi="宋体" w:eastAsia="宋体" w:cs="宋体"/>
          <w:spacing w:val="6"/>
          <w:sz w:val="21"/>
          <w:szCs w:val="21"/>
        </w:rPr>
      </w:pPr>
    </w:p>
    <w:p>
      <w:pPr>
        <w:spacing w:before="172" w:line="221" w:lineRule="auto"/>
        <w:jc w:val="center"/>
        <w:rPr>
          <w:rFonts w:ascii="黑体" w:hAnsi="黑体" w:eastAsia="黑体" w:cs="黑体"/>
          <w:spacing w:val="7"/>
          <w:sz w:val="36"/>
          <w:szCs w:val="36"/>
        </w:rPr>
      </w:pPr>
      <w:r>
        <w:rPr>
          <w:rFonts w:hint="eastAsia" w:ascii="黑体" w:hAnsi="黑体" w:eastAsia="黑体" w:cs="黑体"/>
          <w:spacing w:val="7"/>
          <w:sz w:val="36"/>
          <w:szCs w:val="36"/>
          <w:lang w:val="en-US" w:eastAsia="zh-CN"/>
        </w:rPr>
        <w:t>广西工程咨询协会</w:t>
      </w:r>
      <w:r>
        <w:rPr>
          <w:rFonts w:ascii="黑体" w:hAnsi="黑体" w:eastAsia="黑体" w:cs="黑体"/>
          <w:spacing w:val="7"/>
          <w:sz w:val="36"/>
          <w:szCs w:val="36"/>
        </w:rPr>
        <w:t>专家</w:t>
      </w:r>
      <w:r>
        <w:rPr>
          <w:rFonts w:hint="eastAsia" w:ascii="黑体" w:hAnsi="黑体" w:eastAsia="黑体" w:cs="黑体"/>
          <w:spacing w:val="7"/>
          <w:sz w:val="36"/>
          <w:szCs w:val="36"/>
          <w:lang w:val="en-US" w:eastAsia="zh-CN"/>
        </w:rPr>
        <w:t>工作</w:t>
      </w:r>
      <w:r>
        <w:rPr>
          <w:rFonts w:ascii="黑体" w:hAnsi="黑体" w:eastAsia="黑体" w:cs="黑体"/>
          <w:spacing w:val="7"/>
          <w:sz w:val="36"/>
          <w:szCs w:val="36"/>
        </w:rPr>
        <w:t>评价标准</w:t>
      </w:r>
    </w:p>
    <w:tbl>
      <w:tblPr>
        <w:tblStyle w:val="6"/>
        <w:tblpPr w:leftFromText="180" w:rightFromText="180" w:vertAnchor="text" w:horzAnchor="page" w:tblpX="1092" w:tblpY="220"/>
        <w:tblOverlap w:val="never"/>
        <w:tblW w:w="1461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1796"/>
        <w:gridCol w:w="10517"/>
        <w:gridCol w:w="14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</w:trPr>
        <w:tc>
          <w:tcPr>
            <w:tcW w:w="904" w:type="dxa"/>
            <w:vAlign w:val="top"/>
          </w:tcPr>
          <w:p>
            <w:pPr>
              <w:pStyle w:val="7"/>
              <w:spacing w:before="248" w:line="221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8"/>
                <w:sz w:val="24"/>
                <w:szCs w:val="24"/>
              </w:rPr>
              <w:t>序号</w:t>
            </w:r>
          </w:p>
        </w:tc>
        <w:tc>
          <w:tcPr>
            <w:tcW w:w="1796" w:type="dxa"/>
            <w:vAlign w:val="top"/>
          </w:tcPr>
          <w:p>
            <w:pPr>
              <w:pStyle w:val="7"/>
              <w:spacing w:before="244" w:line="218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3"/>
                <w:sz w:val="24"/>
                <w:szCs w:val="24"/>
              </w:rPr>
              <w:t>评价内容</w:t>
            </w:r>
          </w:p>
        </w:tc>
        <w:tc>
          <w:tcPr>
            <w:tcW w:w="10517" w:type="dxa"/>
            <w:vAlign w:val="top"/>
          </w:tcPr>
          <w:p>
            <w:pPr>
              <w:pStyle w:val="7"/>
              <w:spacing w:before="244" w:line="218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3"/>
                <w:sz w:val="24"/>
                <w:szCs w:val="24"/>
              </w:rPr>
              <w:t>评价标准</w:t>
            </w:r>
          </w:p>
        </w:tc>
        <w:tc>
          <w:tcPr>
            <w:tcW w:w="1401" w:type="dxa"/>
            <w:vAlign w:val="top"/>
          </w:tcPr>
          <w:p>
            <w:pPr>
              <w:pStyle w:val="7"/>
              <w:spacing w:before="248" w:line="221" w:lineRule="auto"/>
              <w:jc w:val="center"/>
              <w:rPr>
                <w:rFonts w:hint="default" w:eastAsia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pacing w:val="7"/>
                <w:sz w:val="24"/>
                <w:szCs w:val="24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904" w:type="dxa"/>
            <w:vMerge w:val="restart"/>
            <w:tcBorders>
              <w:bottom w:val="nil"/>
            </w:tcBorders>
            <w:vAlign w:val="center"/>
          </w:tcPr>
          <w:p>
            <w:pPr>
              <w:pStyle w:val="7"/>
              <w:spacing w:before="69" w:line="142" w:lineRule="exact"/>
              <w:jc w:val="center"/>
              <w:rPr>
                <w:rFonts w:hint="eastAsia" w:eastAsia="仿宋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一</w:t>
            </w:r>
          </w:p>
        </w:tc>
        <w:tc>
          <w:tcPr>
            <w:tcW w:w="1796" w:type="dxa"/>
            <w:vMerge w:val="restart"/>
            <w:tcBorders>
              <w:bottom w:val="nil"/>
            </w:tcBorders>
            <w:vAlign w:val="center"/>
          </w:tcPr>
          <w:p>
            <w:pPr>
              <w:pStyle w:val="7"/>
              <w:spacing w:before="91" w:line="219" w:lineRule="auto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color w:val="auto"/>
                <w:spacing w:val="4"/>
                <w:sz w:val="21"/>
                <w:szCs w:val="21"/>
              </w:rPr>
              <w:t>服务态度</w:t>
            </w:r>
            <w:r>
              <w:rPr>
                <w:b/>
                <w:bCs/>
                <w:color w:val="auto"/>
                <w:spacing w:val="12"/>
                <w:sz w:val="21"/>
                <w:szCs w:val="21"/>
              </w:rPr>
              <w:t>(15分)</w:t>
            </w:r>
          </w:p>
        </w:tc>
        <w:tc>
          <w:tcPr>
            <w:tcW w:w="10517" w:type="dxa"/>
            <w:vAlign w:val="center"/>
          </w:tcPr>
          <w:p>
            <w:pPr>
              <w:pStyle w:val="7"/>
              <w:spacing w:before="42" w:line="223" w:lineRule="auto"/>
              <w:ind w:left="141" w:right="96" w:hanging="39"/>
              <w:jc w:val="both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1.响应情况</w:t>
            </w:r>
            <w:r>
              <w:rPr>
                <w:sz w:val="21"/>
                <w:szCs w:val="21"/>
              </w:rPr>
              <w:t>。专家确认参加委派任务后，应按通知要求按时到达任务地点，无故缺席或未按要求履行委派任务的，扣15分。</w:t>
            </w:r>
          </w:p>
        </w:tc>
        <w:tc>
          <w:tcPr>
            <w:tcW w:w="1401" w:type="dxa"/>
            <w:vAlign w:val="center"/>
          </w:tcPr>
          <w:p>
            <w:pPr>
              <w:jc w:val="both"/>
              <w:rPr>
                <w:rFonts w:ascii="Arial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1" w:hRule="atLeast"/>
        </w:trPr>
        <w:tc>
          <w:tcPr>
            <w:tcW w:w="904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  <w:szCs w:val="21"/>
              </w:rPr>
            </w:pPr>
          </w:p>
        </w:tc>
        <w:tc>
          <w:tcPr>
            <w:tcW w:w="1796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  <w:szCs w:val="21"/>
              </w:rPr>
            </w:pPr>
          </w:p>
        </w:tc>
        <w:tc>
          <w:tcPr>
            <w:tcW w:w="10517" w:type="dxa"/>
            <w:vAlign w:val="center"/>
          </w:tcPr>
          <w:p>
            <w:pPr>
              <w:pStyle w:val="7"/>
              <w:spacing w:before="32" w:line="216" w:lineRule="auto"/>
              <w:ind w:left="72" w:right="98" w:firstLine="30"/>
              <w:jc w:val="both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2.考勤情况。</w:t>
            </w:r>
            <w:r>
              <w:rPr>
                <w:sz w:val="21"/>
                <w:szCs w:val="21"/>
              </w:rPr>
              <w:t>专家应按时参加委派任务，不得迟到早退。参加委派任务迟到或早退超过1小时的，扣5分；超</w:t>
            </w:r>
            <w:r>
              <w:rPr>
                <w:spacing w:val="-1"/>
                <w:sz w:val="21"/>
                <w:szCs w:val="21"/>
              </w:rPr>
              <w:t>过2小时视同缺席扣15分。</w:t>
            </w:r>
          </w:p>
        </w:tc>
        <w:tc>
          <w:tcPr>
            <w:tcW w:w="1401" w:type="dxa"/>
            <w:vAlign w:val="center"/>
          </w:tcPr>
          <w:p>
            <w:pPr>
              <w:jc w:val="both"/>
              <w:rPr>
                <w:rFonts w:ascii="Arial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904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  <w:szCs w:val="21"/>
              </w:rPr>
            </w:pPr>
          </w:p>
        </w:tc>
        <w:tc>
          <w:tcPr>
            <w:tcW w:w="1796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  <w:szCs w:val="21"/>
              </w:rPr>
            </w:pPr>
          </w:p>
        </w:tc>
        <w:tc>
          <w:tcPr>
            <w:tcW w:w="10517" w:type="dxa"/>
            <w:vAlign w:val="center"/>
          </w:tcPr>
          <w:p>
            <w:pPr>
              <w:pStyle w:val="7"/>
              <w:spacing w:before="45" w:line="201" w:lineRule="auto"/>
              <w:ind w:left="92"/>
              <w:jc w:val="both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3.回避情况</w:t>
            </w:r>
            <w:r>
              <w:rPr>
                <w:sz w:val="21"/>
                <w:szCs w:val="21"/>
              </w:rPr>
              <w:t>。专家应遵守回避制度，应回避而未回避的，扣15</w:t>
            </w:r>
            <w:r>
              <w:rPr>
                <w:spacing w:val="-1"/>
                <w:sz w:val="21"/>
                <w:szCs w:val="21"/>
              </w:rPr>
              <w:t>分。</w:t>
            </w:r>
          </w:p>
        </w:tc>
        <w:tc>
          <w:tcPr>
            <w:tcW w:w="1401" w:type="dxa"/>
            <w:vAlign w:val="center"/>
          </w:tcPr>
          <w:p>
            <w:pPr>
              <w:jc w:val="both"/>
              <w:rPr>
                <w:rFonts w:ascii="Arial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904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pStyle w:val="7"/>
              <w:spacing w:before="91" w:line="178" w:lineRule="auto"/>
              <w:jc w:val="center"/>
              <w:rPr>
                <w:rFonts w:ascii="仿宋" w:hAnsi="仿宋" w:eastAsia="仿宋" w:cs="仿宋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sz w:val="21"/>
                <w:szCs w:val="21"/>
              </w:rPr>
              <w:t>二</w:t>
            </w:r>
          </w:p>
        </w:tc>
        <w:tc>
          <w:tcPr>
            <w:tcW w:w="179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pStyle w:val="7"/>
              <w:spacing w:before="91" w:line="219" w:lineRule="auto"/>
              <w:jc w:val="center"/>
              <w:rPr>
                <w:rFonts w:ascii="仿宋" w:hAnsi="仿宋" w:eastAsia="仿宋" w:cs="仿宋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/>
                <w:b/>
                <w:bCs/>
                <w:spacing w:val="3"/>
                <w:sz w:val="21"/>
                <w:szCs w:val="21"/>
                <w:lang w:val="en-US" w:eastAsia="zh-CN"/>
              </w:rPr>
              <w:t>技术</w:t>
            </w:r>
            <w:r>
              <w:rPr>
                <w:b/>
                <w:bCs/>
                <w:spacing w:val="3"/>
                <w:sz w:val="21"/>
                <w:szCs w:val="21"/>
              </w:rPr>
              <w:t>水平</w:t>
            </w:r>
            <w:r>
              <w:rPr>
                <w:b/>
                <w:bCs/>
                <w:spacing w:val="12"/>
                <w:sz w:val="21"/>
                <w:szCs w:val="21"/>
              </w:rPr>
              <w:t>(50分)</w:t>
            </w:r>
          </w:p>
        </w:tc>
        <w:tc>
          <w:tcPr>
            <w:tcW w:w="10517" w:type="dxa"/>
            <w:vAlign w:val="center"/>
          </w:tcPr>
          <w:p>
            <w:pPr>
              <w:pStyle w:val="7"/>
              <w:spacing w:before="33" w:line="213" w:lineRule="auto"/>
              <w:ind w:left="41" w:hanging="29"/>
              <w:jc w:val="both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pacing w:val="-7"/>
                <w:sz w:val="21"/>
                <w:szCs w:val="21"/>
                <w:lang w:val="en-US" w:eastAsia="zh-CN"/>
              </w:rPr>
              <w:t>1</w:t>
            </w:r>
            <w:r>
              <w:rPr>
                <w:b/>
                <w:bCs/>
                <w:color w:val="auto"/>
                <w:spacing w:val="-8"/>
                <w:sz w:val="21"/>
                <w:szCs w:val="21"/>
              </w:rPr>
              <w:t>.依据执行。</w:t>
            </w:r>
            <w:r>
              <w:rPr>
                <w:color w:val="auto"/>
                <w:spacing w:val="-8"/>
                <w:sz w:val="21"/>
                <w:szCs w:val="21"/>
              </w:rPr>
              <w:t>在执行委派任务时</w:t>
            </w:r>
            <w:r>
              <w:rPr>
                <w:rFonts w:hint="eastAsia"/>
                <w:color w:val="auto"/>
                <w:spacing w:val="-8"/>
                <w:sz w:val="21"/>
                <w:szCs w:val="21"/>
                <w:lang w:val="en-US" w:eastAsia="zh-CN"/>
              </w:rPr>
              <w:t>未按</w:t>
            </w:r>
            <w:r>
              <w:rPr>
                <w:color w:val="auto"/>
                <w:spacing w:val="-8"/>
                <w:sz w:val="21"/>
                <w:szCs w:val="21"/>
              </w:rPr>
              <w:t>有关法律法规、政策文件、标准规范等</w:t>
            </w:r>
            <w:r>
              <w:rPr>
                <w:rFonts w:hint="eastAsia"/>
                <w:color w:val="auto"/>
                <w:spacing w:val="-8"/>
                <w:sz w:val="21"/>
                <w:szCs w:val="21"/>
                <w:lang w:val="en-US" w:eastAsia="zh-CN"/>
              </w:rPr>
              <w:t>要求</w:t>
            </w:r>
            <w:r>
              <w:rPr>
                <w:color w:val="auto"/>
                <w:spacing w:val="-8"/>
                <w:sz w:val="21"/>
                <w:szCs w:val="21"/>
              </w:rPr>
              <w:t>，</w:t>
            </w:r>
            <w:r>
              <w:rPr>
                <w:rFonts w:hint="eastAsia"/>
                <w:color w:val="auto"/>
                <w:spacing w:val="-8"/>
                <w:sz w:val="21"/>
                <w:szCs w:val="21"/>
                <w:lang w:val="en-US" w:eastAsia="zh-CN"/>
              </w:rPr>
              <w:t>未遵循客观公正原则，仅</w:t>
            </w:r>
            <w:r>
              <w:rPr>
                <w:color w:val="auto"/>
                <w:spacing w:val="-8"/>
                <w:sz w:val="21"/>
                <w:szCs w:val="21"/>
              </w:rPr>
              <w:t>依据个人经验出具</w:t>
            </w:r>
            <w:r>
              <w:rPr>
                <w:rFonts w:hint="eastAsia"/>
                <w:color w:val="auto"/>
                <w:spacing w:val="-8"/>
                <w:sz w:val="21"/>
                <w:szCs w:val="21"/>
                <w:lang w:val="zh-CN"/>
              </w:rPr>
              <w:t>评审（</w:t>
            </w:r>
            <w:r>
              <w:rPr>
                <w:rFonts w:hint="eastAsia"/>
                <w:color w:val="auto"/>
                <w:spacing w:val="-8"/>
                <w:sz w:val="21"/>
                <w:szCs w:val="21"/>
                <w:lang w:val="en-US" w:eastAsia="zh-CN"/>
              </w:rPr>
              <w:t>审查）</w:t>
            </w:r>
            <w:r>
              <w:rPr>
                <w:color w:val="auto"/>
                <w:spacing w:val="-8"/>
                <w:sz w:val="21"/>
                <w:szCs w:val="21"/>
              </w:rPr>
              <w:t>结论的， 扣25分。</w:t>
            </w:r>
          </w:p>
        </w:tc>
        <w:tc>
          <w:tcPr>
            <w:tcW w:w="1401" w:type="dxa"/>
            <w:vAlign w:val="center"/>
          </w:tcPr>
          <w:p>
            <w:pPr>
              <w:jc w:val="both"/>
              <w:rPr>
                <w:rFonts w:ascii="Arial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904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  <w:szCs w:val="21"/>
              </w:rPr>
            </w:pPr>
          </w:p>
        </w:tc>
        <w:tc>
          <w:tcPr>
            <w:tcW w:w="1796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  <w:szCs w:val="21"/>
              </w:rPr>
            </w:pPr>
          </w:p>
        </w:tc>
        <w:tc>
          <w:tcPr>
            <w:tcW w:w="10517" w:type="dxa"/>
            <w:vAlign w:val="center"/>
          </w:tcPr>
          <w:p>
            <w:pPr>
              <w:pStyle w:val="7"/>
              <w:spacing w:before="26" w:line="227" w:lineRule="auto"/>
              <w:ind w:left="12"/>
              <w:jc w:val="both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pacing w:val="-1"/>
                <w:sz w:val="21"/>
                <w:szCs w:val="21"/>
                <w:lang w:val="en-US" w:eastAsia="zh-CN"/>
              </w:rPr>
              <w:t>2</w:t>
            </w:r>
            <w:r>
              <w:rPr>
                <w:b/>
                <w:bCs/>
                <w:color w:val="auto"/>
                <w:spacing w:val="-1"/>
                <w:sz w:val="21"/>
                <w:szCs w:val="21"/>
              </w:rPr>
              <w:t>.</w:t>
            </w:r>
            <w:r>
              <w:rPr>
                <w:rFonts w:hint="eastAsia"/>
                <w:b/>
                <w:bCs/>
                <w:color w:val="auto"/>
                <w:spacing w:val="-1"/>
                <w:sz w:val="21"/>
                <w:szCs w:val="21"/>
                <w:lang w:val="en-US" w:eastAsia="zh-CN"/>
              </w:rPr>
              <w:t>专业</w:t>
            </w:r>
            <w:r>
              <w:rPr>
                <w:b/>
                <w:bCs/>
                <w:color w:val="auto"/>
                <w:spacing w:val="-1"/>
                <w:sz w:val="21"/>
                <w:szCs w:val="21"/>
              </w:rPr>
              <w:t>能力。</w:t>
            </w:r>
            <w:r>
              <w:rPr>
                <w:color w:val="auto"/>
                <w:spacing w:val="-1"/>
                <w:sz w:val="21"/>
                <w:szCs w:val="21"/>
              </w:rPr>
              <w:t>执行委派任务过程中未发现</w:t>
            </w:r>
            <w:r>
              <w:rPr>
                <w:color w:val="auto"/>
                <w:spacing w:val="-2"/>
                <w:sz w:val="21"/>
                <w:szCs w:val="21"/>
              </w:rPr>
              <w:t>存在的明显问题的，扣10分；未发现存在重大缺陷</w:t>
            </w:r>
            <w:r>
              <w:rPr>
                <w:rFonts w:hint="eastAsia"/>
                <w:color w:val="auto"/>
                <w:spacing w:val="-2"/>
                <w:sz w:val="21"/>
                <w:szCs w:val="21"/>
                <w:lang w:val="en-US" w:eastAsia="zh-CN"/>
              </w:rPr>
              <w:t>或问题</w:t>
            </w:r>
            <w:r>
              <w:rPr>
                <w:color w:val="auto"/>
                <w:spacing w:val="-2"/>
                <w:sz w:val="21"/>
                <w:szCs w:val="21"/>
              </w:rPr>
              <w:t>，后经其他相关人员发现并核实确认的，扣25分；</w:t>
            </w:r>
            <w:r>
              <w:rPr>
                <w:color w:val="auto"/>
                <w:spacing w:val="3"/>
                <w:sz w:val="21"/>
                <w:szCs w:val="21"/>
              </w:rPr>
              <w:t>未发现存在的重大错误或漏项，导致严重后果的，扣50分。</w:t>
            </w:r>
          </w:p>
        </w:tc>
        <w:tc>
          <w:tcPr>
            <w:tcW w:w="1401" w:type="dxa"/>
            <w:vAlign w:val="center"/>
          </w:tcPr>
          <w:p>
            <w:pPr>
              <w:jc w:val="both"/>
              <w:rPr>
                <w:rFonts w:ascii="Arial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904" w:type="dxa"/>
            <w:vMerge w:val="restart"/>
            <w:tcBorders>
              <w:bottom w:val="nil"/>
            </w:tcBorders>
            <w:vAlign w:val="center"/>
          </w:tcPr>
          <w:p>
            <w:pPr>
              <w:pStyle w:val="7"/>
              <w:spacing w:before="91" w:line="237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三</w:t>
            </w:r>
          </w:p>
        </w:tc>
        <w:tc>
          <w:tcPr>
            <w:tcW w:w="1796" w:type="dxa"/>
            <w:vMerge w:val="restart"/>
            <w:tcBorders>
              <w:bottom w:val="nil"/>
            </w:tcBorders>
            <w:vAlign w:val="center"/>
          </w:tcPr>
          <w:p>
            <w:pPr>
              <w:pStyle w:val="7"/>
              <w:spacing w:before="91" w:line="220" w:lineRule="auto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pacing w:val="6"/>
                <w:sz w:val="21"/>
                <w:szCs w:val="21"/>
              </w:rPr>
              <w:t>职业道德(20分)</w:t>
            </w:r>
          </w:p>
        </w:tc>
        <w:tc>
          <w:tcPr>
            <w:tcW w:w="10517" w:type="dxa"/>
            <w:vAlign w:val="center"/>
          </w:tcPr>
          <w:p>
            <w:pPr>
              <w:pStyle w:val="7"/>
              <w:spacing w:before="46" w:line="216" w:lineRule="auto"/>
              <w:ind w:left="12"/>
              <w:jc w:val="both"/>
              <w:rPr>
                <w:sz w:val="21"/>
                <w:szCs w:val="21"/>
              </w:rPr>
            </w:pPr>
            <w:r>
              <w:rPr>
                <w:b/>
                <w:bCs/>
                <w:spacing w:val="-2"/>
                <w:sz w:val="21"/>
                <w:szCs w:val="21"/>
              </w:rPr>
              <w:t>1.保守秘密。</w:t>
            </w:r>
            <w:r>
              <w:rPr>
                <w:spacing w:val="-2"/>
                <w:sz w:val="21"/>
                <w:szCs w:val="21"/>
              </w:rPr>
              <w:t>专家接受任务后与相关单位或有利害关系人联系、私下接触透露任务信息的，扣20分；将委派任务的相关资料外泄的，扣20分；向他人透露</w:t>
            </w:r>
            <w:r>
              <w:rPr>
                <w:rFonts w:hint="eastAsia"/>
                <w:spacing w:val="-2"/>
                <w:sz w:val="21"/>
                <w:szCs w:val="21"/>
                <w:lang w:val="en-US" w:eastAsia="zh-CN"/>
              </w:rPr>
              <w:t>审查</w:t>
            </w:r>
            <w:r>
              <w:rPr>
                <w:spacing w:val="-2"/>
                <w:sz w:val="21"/>
                <w:szCs w:val="21"/>
              </w:rPr>
              <w:t>结论或</w:t>
            </w:r>
            <w:r>
              <w:rPr>
                <w:rFonts w:hint="eastAsia"/>
                <w:spacing w:val="-2"/>
                <w:sz w:val="21"/>
                <w:szCs w:val="21"/>
                <w:lang w:val="en-US" w:eastAsia="zh-CN"/>
              </w:rPr>
              <w:t>服务单位</w:t>
            </w:r>
            <w:r>
              <w:rPr>
                <w:spacing w:val="-2"/>
                <w:sz w:val="21"/>
                <w:szCs w:val="21"/>
              </w:rPr>
              <w:t>商业秘密、技术秘密和知识产</w:t>
            </w:r>
            <w:r>
              <w:rPr>
                <w:spacing w:val="13"/>
                <w:sz w:val="21"/>
                <w:szCs w:val="21"/>
              </w:rPr>
              <w:t>权的，扣20分。</w:t>
            </w:r>
          </w:p>
        </w:tc>
        <w:tc>
          <w:tcPr>
            <w:tcW w:w="1401" w:type="dxa"/>
            <w:vAlign w:val="center"/>
          </w:tcPr>
          <w:p>
            <w:pPr>
              <w:jc w:val="both"/>
              <w:rPr>
                <w:rFonts w:ascii="Arial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8" w:hRule="atLeast"/>
        </w:trPr>
        <w:tc>
          <w:tcPr>
            <w:tcW w:w="904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  <w:szCs w:val="21"/>
              </w:rPr>
            </w:pPr>
          </w:p>
        </w:tc>
        <w:tc>
          <w:tcPr>
            <w:tcW w:w="1796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  <w:szCs w:val="21"/>
              </w:rPr>
            </w:pPr>
          </w:p>
        </w:tc>
        <w:tc>
          <w:tcPr>
            <w:tcW w:w="10517" w:type="dxa"/>
            <w:vAlign w:val="center"/>
          </w:tcPr>
          <w:p>
            <w:pPr>
              <w:pStyle w:val="7"/>
              <w:spacing w:before="57" w:line="225" w:lineRule="auto"/>
              <w:jc w:val="both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2.坚持原则。</w:t>
            </w:r>
            <w:r>
              <w:rPr>
                <w:sz w:val="21"/>
                <w:szCs w:val="21"/>
              </w:rPr>
              <w:t>在委派任务过程中发现有违法违规行为或</w:t>
            </w:r>
            <w:r>
              <w:rPr>
                <w:spacing w:val="-1"/>
                <w:sz w:val="21"/>
                <w:szCs w:val="21"/>
              </w:rPr>
              <w:t>不正常现象，未及时向</w:t>
            </w: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专家委员会</w:t>
            </w:r>
            <w:r>
              <w:rPr>
                <w:spacing w:val="-1"/>
                <w:sz w:val="21"/>
                <w:szCs w:val="21"/>
              </w:rPr>
              <w:t>报告的</w:t>
            </w:r>
            <w:r>
              <w:rPr>
                <w:rFonts w:hint="eastAsia"/>
                <w:spacing w:val="-1"/>
                <w:sz w:val="21"/>
                <w:szCs w:val="21"/>
                <w:lang w:eastAsia="zh-CN"/>
              </w:rPr>
              <w:t>，</w:t>
            </w:r>
            <w:r>
              <w:rPr>
                <w:spacing w:val="2"/>
                <w:sz w:val="21"/>
                <w:szCs w:val="21"/>
              </w:rPr>
              <w:t>扣10分；干扰、暗示、诱导或向其他专家施加压力，影响其独立</w:t>
            </w:r>
            <w:r>
              <w:rPr>
                <w:spacing w:val="1"/>
                <w:sz w:val="21"/>
                <w:szCs w:val="21"/>
              </w:rPr>
              <w:t>工作的，扣15分；现场对专家组形成的意见</w:t>
            </w:r>
            <w:r>
              <w:rPr>
                <w:spacing w:val="-2"/>
                <w:sz w:val="21"/>
                <w:szCs w:val="21"/>
              </w:rPr>
              <w:t>结论未提出不同意见，事后拒绝签字的，扣15分；专家对出具意见不负责任，事后发表与专家组或个人意见相</w:t>
            </w:r>
            <w:r>
              <w:rPr>
                <w:sz w:val="21"/>
                <w:szCs w:val="21"/>
              </w:rPr>
              <w:t>反言论的，扣15分。</w:t>
            </w:r>
          </w:p>
        </w:tc>
        <w:tc>
          <w:tcPr>
            <w:tcW w:w="1401" w:type="dxa"/>
            <w:vAlign w:val="center"/>
          </w:tcPr>
          <w:p>
            <w:pPr>
              <w:jc w:val="both"/>
              <w:rPr>
                <w:rFonts w:ascii="Arial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904" w:type="dxa"/>
            <w:vMerge w:val="restart"/>
            <w:tcBorders>
              <w:bottom w:val="nil"/>
            </w:tcBorders>
            <w:vAlign w:val="center"/>
          </w:tcPr>
          <w:p>
            <w:pPr>
              <w:pStyle w:val="7"/>
              <w:spacing w:before="91" w:line="222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四</w:t>
            </w:r>
          </w:p>
        </w:tc>
        <w:tc>
          <w:tcPr>
            <w:tcW w:w="1796" w:type="dxa"/>
            <w:vMerge w:val="restart"/>
            <w:tcBorders>
              <w:bottom w:val="nil"/>
            </w:tcBorders>
            <w:vAlign w:val="center"/>
          </w:tcPr>
          <w:p>
            <w:pPr>
              <w:pStyle w:val="7"/>
              <w:spacing w:before="91" w:line="220" w:lineRule="auto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pacing w:val="6"/>
                <w:sz w:val="21"/>
                <w:szCs w:val="21"/>
              </w:rPr>
              <w:t>制度遵守(15分)</w:t>
            </w:r>
          </w:p>
        </w:tc>
        <w:tc>
          <w:tcPr>
            <w:tcW w:w="10517" w:type="dxa"/>
            <w:vAlign w:val="center"/>
          </w:tcPr>
          <w:p>
            <w:pPr>
              <w:pStyle w:val="7"/>
              <w:spacing w:before="58" w:line="219" w:lineRule="auto"/>
              <w:jc w:val="both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1.材料准备。</w:t>
            </w:r>
            <w:r>
              <w:rPr>
                <w:sz w:val="21"/>
                <w:szCs w:val="21"/>
              </w:rPr>
              <w:t>专家在执行任务后，未做相应准备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工作的</w:t>
            </w:r>
            <w:r>
              <w:rPr>
                <w:sz w:val="21"/>
                <w:szCs w:val="21"/>
              </w:rPr>
              <w:t>，扣5分；未提前熟知有关任务材料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的</w:t>
            </w:r>
            <w:r>
              <w:rPr>
                <w:sz w:val="21"/>
                <w:szCs w:val="21"/>
              </w:rPr>
              <w:t>，扣5</w:t>
            </w:r>
            <w:r>
              <w:rPr>
                <w:spacing w:val="-1"/>
                <w:sz w:val="21"/>
                <w:szCs w:val="21"/>
              </w:rPr>
              <w:t>分。</w:t>
            </w:r>
          </w:p>
        </w:tc>
        <w:tc>
          <w:tcPr>
            <w:tcW w:w="1401" w:type="dxa"/>
            <w:vAlign w:val="center"/>
          </w:tcPr>
          <w:p>
            <w:pPr>
              <w:jc w:val="both"/>
              <w:rPr>
                <w:rFonts w:ascii="Arial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904" w:type="dxa"/>
            <w:vMerge w:val="continue"/>
            <w:tcBorders>
              <w:top w:val="nil"/>
            </w:tcBorders>
            <w:vAlign w:val="center"/>
          </w:tcPr>
          <w:p>
            <w:pPr>
              <w:jc w:val="both"/>
              <w:rPr>
                <w:rFonts w:ascii="Arial"/>
                <w:sz w:val="21"/>
                <w:szCs w:val="21"/>
              </w:rPr>
            </w:pPr>
          </w:p>
        </w:tc>
        <w:tc>
          <w:tcPr>
            <w:tcW w:w="1796" w:type="dxa"/>
            <w:vMerge w:val="continue"/>
            <w:tcBorders>
              <w:top w:val="nil"/>
            </w:tcBorders>
            <w:vAlign w:val="center"/>
          </w:tcPr>
          <w:p>
            <w:pPr>
              <w:jc w:val="both"/>
              <w:rPr>
                <w:rFonts w:ascii="Arial"/>
                <w:sz w:val="21"/>
                <w:szCs w:val="21"/>
              </w:rPr>
            </w:pPr>
          </w:p>
        </w:tc>
        <w:tc>
          <w:tcPr>
            <w:tcW w:w="10517" w:type="dxa"/>
            <w:vAlign w:val="center"/>
          </w:tcPr>
          <w:p>
            <w:pPr>
              <w:pStyle w:val="7"/>
              <w:spacing w:before="69" w:line="229" w:lineRule="auto"/>
              <w:ind w:right="95"/>
              <w:jc w:val="both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2.结果提交。</w:t>
            </w:r>
            <w:r>
              <w:rPr>
                <w:sz w:val="21"/>
                <w:szCs w:val="21"/>
              </w:rPr>
              <w:t>专家在完成任务后应按照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服务</w:t>
            </w:r>
            <w:r>
              <w:rPr>
                <w:sz w:val="21"/>
                <w:szCs w:val="21"/>
              </w:rPr>
              <w:t>要求，按时提交本次任务执行情况等资料，未按时按要求提交的，扣5分。催办后，仍未提交造成工作延迟的，扣15分。</w:t>
            </w:r>
          </w:p>
        </w:tc>
        <w:tc>
          <w:tcPr>
            <w:tcW w:w="1401" w:type="dxa"/>
            <w:vAlign w:val="center"/>
          </w:tcPr>
          <w:p>
            <w:pPr>
              <w:jc w:val="both"/>
              <w:rPr>
                <w:rFonts w:ascii="Arial"/>
                <w:sz w:val="21"/>
                <w:szCs w:val="21"/>
              </w:rPr>
            </w:pPr>
          </w:p>
        </w:tc>
      </w:tr>
    </w:tbl>
    <w:p>
      <w:pPr>
        <w:spacing w:before="36" w:line="219" w:lineRule="auto"/>
        <w:rPr>
          <w:rFonts w:ascii="宋体" w:hAnsi="宋体" w:eastAsia="宋体" w:cs="宋体"/>
          <w:spacing w:val="6"/>
          <w:sz w:val="21"/>
          <w:szCs w:val="21"/>
        </w:rPr>
      </w:pPr>
    </w:p>
    <w:sectPr>
      <w:pgSz w:w="16702" w:h="11758" w:orient="landscape"/>
      <w:pgMar w:top="798" w:right="567" w:bottom="567" w:left="567" w:header="0" w:footer="0" w:gutter="0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hYTU5NzhlMmUxNjJjMjBkN2VkZGNkMzRiYzI2ZTIifQ=="/>
  </w:docVars>
  <w:rsids>
    <w:rsidRoot w:val="7A9F506A"/>
    <w:rsid w:val="056C5A14"/>
    <w:rsid w:val="05DF0254"/>
    <w:rsid w:val="0B6A17E6"/>
    <w:rsid w:val="0C8A3E1D"/>
    <w:rsid w:val="14B836DE"/>
    <w:rsid w:val="1CD15BFF"/>
    <w:rsid w:val="21983295"/>
    <w:rsid w:val="24B67B3D"/>
    <w:rsid w:val="28B906C0"/>
    <w:rsid w:val="2B4A60AE"/>
    <w:rsid w:val="2BB1742D"/>
    <w:rsid w:val="2E183D6D"/>
    <w:rsid w:val="2EA7230A"/>
    <w:rsid w:val="2FF3270A"/>
    <w:rsid w:val="32577FC7"/>
    <w:rsid w:val="37465815"/>
    <w:rsid w:val="3FA73FFF"/>
    <w:rsid w:val="42187CD6"/>
    <w:rsid w:val="43CE20EB"/>
    <w:rsid w:val="461E47A9"/>
    <w:rsid w:val="4B170465"/>
    <w:rsid w:val="50B52C6C"/>
    <w:rsid w:val="53C27B7A"/>
    <w:rsid w:val="569C0B56"/>
    <w:rsid w:val="57C93BCD"/>
    <w:rsid w:val="5835523D"/>
    <w:rsid w:val="58F71C14"/>
    <w:rsid w:val="59513E7A"/>
    <w:rsid w:val="5B426F7E"/>
    <w:rsid w:val="5B7756EE"/>
    <w:rsid w:val="5CC13AD7"/>
    <w:rsid w:val="5D487342"/>
    <w:rsid w:val="609C7C9C"/>
    <w:rsid w:val="60A47BB3"/>
    <w:rsid w:val="650570A7"/>
    <w:rsid w:val="657D53A3"/>
    <w:rsid w:val="65E86F33"/>
    <w:rsid w:val="6A5B0572"/>
    <w:rsid w:val="6ACA793F"/>
    <w:rsid w:val="6BC609B2"/>
    <w:rsid w:val="6D0E5786"/>
    <w:rsid w:val="6DDF3EE6"/>
    <w:rsid w:val="6FF45107"/>
    <w:rsid w:val="72734A09"/>
    <w:rsid w:val="72A94019"/>
    <w:rsid w:val="7375655F"/>
    <w:rsid w:val="74A87999"/>
    <w:rsid w:val="75CB4B5C"/>
    <w:rsid w:val="780B1240"/>
    <w:rsid w:val="78B96EEE"/>
    <w:rsid w:val="7A9F506A"/>
    <w:rsid w:val="7C7E525A"/>
    <w:rsid w:val="7D2A03BA"/>
    <w:rsid w:val="7DCB0D9E"/>
    <w:rsid w:val="7E142CC9"/>
    <w:rsid w:val="7F3B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autoRedefine/>
    <w:semiHidden/>
    <w:qFormat/>
    <w:uiPriority w:val="0"/>
    <w:rPr>
      <w:rFonts w:ascii="仿宋" w:hAnsi="仿宋" w:eastAsia="仿宋" w:cs="仿宋"/>
      <w:sz w:val="34"/>
      <w:szCs w:val="3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961</Words>
  <Characters>1022</Characters>
  <Lines>0</Lines>
  <Paragraphs>0</Paragraphs>
  <TotalTime>6</TotalTime>
  <ScaleCrop>false</ScaleCrop>
  <LinksUpToDate>false</LinksUpToDate>
  <CharactersWithSpaces>1098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2023-12-29T02:31:00Z</dcterms:created>
  <dc:creator>LW</dc:creator>
  <cp:lastModifiedBy>LW</cp:lastModifiedBy>
  <dcterms:modified xsi:type="dcterms:W3CDTF">2024-05-13T07:05:57Z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95B8DF4E725542A5A749564E51256E21_11</vt:lpwstr>
  </property>
</Properties>
</file>